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3C96B75F" w:rsidR="007906AB" w:rsidRPr="00110E6F" w:rsidRDefault="000735F2" w:rsidP="00110E6F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10E6F" w:rsidRPr="00110E6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Zakup licencji na oprogramowanie do analizy jakościowej, umożliwiające współpracę </w:t>
      </w:r>
      <w:r w:rsidR="00110E6F" w:rsidRPr="00110E6F">
        <w:rPr>
          <w:rFonts w:ascii="Times New Roman" w:hAnsi="Times New Roman" w:cs="Times New Roman"/>
          <w:b/>
          <w:bCs/>
          <w:iCs/>
          <w:sz w:val="20"/>
          <w:szCs w:val="20"/>
        </w:rPr>
        <w:br/>
        <w:t>w chmurze i stacjonarną analizę danych jakościowych</w:t>
      </w:r>
      <w:r w:rsidR="00110E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  <w:bookmarkStart w:id="0" w:name="_GoBack"/>
      <w:bookmarkEnd w:id="0"/>
    </w:p>
    <w:p w14:paraId="23F94B76" w14:textId="77777777" w:rsidR="007906AB" w:rsidRPr="007906AB" w:rsidRDefault="007906AB" w:rsidP="007906AB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D1699B">
            <w:pPr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2608F0">
            <w:pPr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2608F0">
            <w:pPr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6CE0D3EE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(Dz. U. z 2023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871CEA">
        <w:rPr>
          <w:rFonts w:ascii="Times New Roman" w:hAnsi="Times New Roman" w:cs="Times New Roman"/>
          <w:i/>
          <w:lang w:eastAsia="ar-SA"/>
        </w:rPr>
        <w:t>1497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983690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983690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983690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0"/>
            <w:bookmarkEnd w:id="1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0B5B294B" w:rsidR="00983690" w:rsidRPr="002608F0" w:rsidRDefault="00983690" w:rsidP="00812BC9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2" w:name="mip63236841"/>
            <w:bookmarkEnd w:id="2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2608F0" w:rsidRDefault="00983690" w:rsidP="00D1699B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110E6F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B561C" w14:textId="26AEAF3C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91424" wp14:editId="109F009B">
          <wp:simplePos x="0" y="0"/>
          <wp:positionH relativeFrom="column">
            <wp:posOffset>2324100</wp:posOffset>
          </wp:positionH>
          <wp:positionV relativeFrom="paragraph">
            <wp:posOffset>66675</wp:posOffset>
          </wp:positionV>
          <wp:extent cx="1871980" cy="687705"/>
          <wp:effectExtent l="0" t="0" r="0" b="0"/>
          <wp:wrapSquare wrapText="bothSides"/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841548" w14:textId="0714091F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5AE2C8C7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553B1B33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2E478FF4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2B0486B7" w14:textId="77777777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67666197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110E6F">
      <w:rPr>
        <w:rFonts w:ascii="Times New Roman" w:hAnsi="Times New Roman" w:cs="Times New Roman"/>
        <w:b/>
        <w:bCs/>
      </w:rPr>
      <w:t>12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77777777" w:rsidR="00E60123" w:rsidRPr="005E4C9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>należy złożyć wraz z Formularzem negocjacji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161C-3DEA-4BFF-8E18-28B37123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17</cp:revision>
  <cp:lastPrinted>2023-09-07T08:54:00Z</cp:lastPrinted>
  <dcterms:created xsi:type="dcterms:W3CDTF">2023-05-09T10:00:00Z</dcterms:created>
  <dcterms:modified xsi:type="dcterms:W3CDTF">2024-02-28T08:30:00Z</dcterms:modified>
</cp:coreProperties>
</file>